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Муниципальное бюджетное учреждение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дополнительного образования «Детская школа искусств»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Разработка сценария классного часа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для </w:t>
      </w:r>
      <w:proofErr w:type="gramStart"/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обучающихся</w:t>
      </w:r>
      <w:proofErr w:type="gramEnd"/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 классу гитары 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«Выдающиеся композиторы – исполнители на 6-ти </w:t>
      </w:r>
      <w:proofErr w:type="gramStart"/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струнной</w:t>
      </w:r>
      <w:proofErr w:type="gramEnd"/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классической испанской гитаре»    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Подготовил и провёл преподаватель по классу гитары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Акишин</w:t>
      </w:r>
      <w:proofErr w:type="spellEnd"/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В.Н. 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324199" w:rsidRDefault="00CC30F0">
      <w:pPr>
        <w:pStyle w:val="a6"/>
        <w:shd w:val="clear" w:color="auto" w:fill="F8F8F8"/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г. Ханты-</w:t>
      </w: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Мансийск  </w:t>
      </w:r>
    </w:p>
    <w:p w:rsidR="00324199" w:rsidRDefault="00CC30F0">
      <w:pPr>
        <w:pStyle w:val="a6"/>
        <w:shd w:val="clear" w:color="auto" w:fill="F8F8F8"/>
        <w:rPr>
          <w:color w:val="000000"/>
          <w:sz w:val="28"/>
          <w:szCs w:val="28"/>
        </w:rPr>
      </w:pPr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201</w:t>
      </w:r>
      <w:r>
        <w:rPr>
          <w:rStyle w:val="15"/>
          <w:rFonts w:cs="Times New Roman"/>
          <w:b w:val="0"/>
          <w:bCs w:val="0"/>
          <w:color w:val="000000"/>
          <w:sz w:val="28"/>
          <w:szCs w:val="28"/>
        </w:rPr>
        <w:t>8</w:t>
      </w:r>
      <w:bookmarkStart w:id="0" w:name="_GoBack"/>
      <w:bookmarkEnd w:id="0"/>
      <w:r>
        <w:rPr>
          <w:rStyle w:val="1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                      </w:t>
      </w:r>
    </w:p>
    <w:p w:rsidR="00324199" w:rsidRDefault="00CC30F0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Цели: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1.Воспитание и развитие у обучающихся личностных качеств, позволяющих уважать и принимать духовные и культурные ценности разных народов.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2.Формирование у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обучающихся эстетических взглядов, нравственных установок и потребности общения с духовными ценностями.</w:t>
      </w:r>
      <w:r>
        <w:rPr>
          <w:rFonts w:eastAsia="Times New Roman"/>
          <w:color w:val="000000"/>
          <w:szCs w:val="28"/>
          <w:lang w:eastAsia="ru-RU"/>
        </w:rPr>
        <w:br/>
      </w:r>
    </w:p>
    <w:p w:rsidR="00324199" w:rsidRDefault="00CC30F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3. Ввести обучающихся в мир большого музыкального искусства, научить их любить музыку во всём богатстве её форм и жанров, иначе говоря, воспитать в </w:t>
      </w:r>
      <w:r>
        <w:rPr>
          <w:rFonts w:eastAsia="Times New Roman"/>
          <w:bCs/>
          <w:color w:val="000000"/>
          <w:szCs w:val="28"/>
          <w:lang w:eastAsia="ru-RU"/>
        </w:rPr>
        <w:t xml:space="preserve">учащихся музыкальную культуру как часть всей их духовной культуры. (Д.Б. </w:t>
      </w:r>
      <w:proofErr w:type="spellStart"/>
      <w:r>
        <w:rPr>
          <w:rFonts w:eastAsia="Times New Roman"/>
          <w:bCs/>
          <w:color w:val="000000"/>
          <w:szCs w:val="28"/>
          <w:lang w:eastAsia="ru-RU"/>
        </w:rPr>
        <w:t>Кабалевский</w:t>
      </w:r>
      <w:proofErr w:type="spellEnd"/>
      <w:r>
        <w:rPr>
          <w:rFonts w:eastAsia="Times New Roman"/>
          <w:bCs/>
          <w:color w:val="000000"/>
          <w:szCs w:val="28"/>
          <w:lang w:eastAsia="ru-RU"/>
        </w:rPr>
        <w:t>)</w:t>
      </w:r>
    </w:p>
    <w:p w:rsidR="00324199" w:rsidRDefault="00CC30F0">
      <w:pPr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Задачи: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1.Познакомить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обучающихся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с выдающимися зарубежными, русскими и советскими композиторами и гитаристами.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2.Познакомить с историей формирования гитарной культуры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 История возникновения гитары.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3.Развивать стремление к постоянному совершенствованию знаний.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4.Привить любовь к инструменту, сформировать устойчивый интерес к музыкальным занятиям и заинтересованности в совершенствовании своего музыкального образования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Гитара – как классический инструмент.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Гитара – один из самых любимых и популярных инструментов во многих странах мира. История гитарного искусства наполнена, богатыми событиями, творческими поисками, постоянным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совершенствованием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как и техники игры на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нем.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Свой внешний вид, близкий к современному, гитара приняла лишь в XVIII веке. Ее предшественниками по праву считаются такие щипковые инструменты, как лютня, лира, греческая кифара, итальянская виола и испанская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виуэла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lastRenderedPageBreak/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настоящее время существуют нес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колько основных разновидностей гитары: классическая шестиструнная («испанская»), семиструнная («русская»), а также «гавайская», джаз-гитара,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электро-гитара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Классическая гитара…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Classicus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(от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латинского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) – образцовый.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Музыкальный словарь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Гроува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(М., 2001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):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«Классицизм - …специфика классицизма в музыке определяется такими признаками, как отчетливая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диффенциация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жанров, ясность и уравновешенность форм, сдержанность в выражении страстей, направленность сонатной формы).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Видными представителями классицизма был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и композиторы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мангеймской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школы Л.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Боккерини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К. Глюк, Л.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Керубини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 др. Вершиной классицизма в музыке мастера венской классической школы Й. Гайдн, В. А. Моцарт, Л. Бетховен, позднее Ф. Шуберт». Г. Берлиоз хорошо играл на гитаре и в своем «Большом трактате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 современной оркестровке» несколько страниц посвятил классической гитаре. Восхищаясь ее звуком, разнообразием приемов, в качестве примера привел блестящих исполнителей его современнико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в-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гитаристов Ф. Сора, М.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Джулиани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Цани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де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Ферранти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…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Н. Паганини в с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овершенстве владел гитарой. Многие приемы гитарной техники перенес на скрипку, а скрипичные приемы использовал на гитаре. Композиторское наследие Паганини богато произведениями для гитары соло, дуэтами для скрипки и гитары, трио и квартетам с гитарой.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Бокк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ерини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Гайдн, Шуберт писали для гитары соло и ансамбля. Учениками Л. Бетховена были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Диабелли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Ф.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Калулли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. Начиная с XVI века, «Школа игры на гитаре» издавались Г.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Санзом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Р. Де Визе, Ф.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Карулли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А.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Диабелли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Д.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Агуадо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Ф. Сором, М.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Джуллиани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Й.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Мерцем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 м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ногими другими.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Расцвет гитарного исполнительского мастерства пришелся на XVII – начало XIX столетий – период классицизма. Особое отличие от народных инструментов заключается в том, что на всех этапах гитара (параллельно с лютней) развивалась на профессио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нальной основе. Об этом свидетельствуют «школы», «Инструкции», «Трактаты», где разрабатывалось нотописание и теория музыки, повлиявшие на развитие других инструментов. Были заложены основы для совершенствования и прогрессивных методов профессионального гит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арного исполнительства.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Второе отличие от народных инструментов – это существование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оригинальной гитарной литературы с момента появления инструмента, причем как учебной, так и концертной. Эта небольшая справка подтверждает слова о том, что шестиструнная г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итара – классический инструмент. Знания истории гитары, ее литературы меняют отношение к инструменту, методику преподавания и подбор репертуара.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Гитарная литература имеет давнюю историю и свои традиции. Видное место в репертуаре гитаристов занимают перело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жения произведений, написанных для других инструментов, а также для ее непосредственных предшественников, в частности для лютни.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 успехом интерпретируются гитаристами скрипичные сочинения. Так, например,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Андрес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Сеговия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является непревзойденным исполнител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ем труднейшей Чаконы И. С. Баха, одного из шедевров скрипичной музыки.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Исторические сведения о гитаре.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Первые сведения о гитаре относятся к глубокой древности. На египетских памятниках тысячелетий давности встречаются изображения музыкальных инструментов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внешним видом напоминающего гитару. Прототипом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щипковых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- египетская набла и арабский эль-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ауд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, которые в средние века сменила лютня, имевшая большое значение в культуре эпохи Возрождения.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Как свидетельствуют иероглифические надписи, набла – символ добра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 Гитара была распространена и в Азии, что подтверждают изображения на архитектурных памятниках Ассирии, Вавилона и Финикии. В XIII веке арабы завезли ее в Испанию, где она вскоре получила полное признание.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конце XV века состоятельные семьи Испании начи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нают соперничать между собой в покровительстве наукам и искусству. Гитара наравне с лютней и другими щипковыми инструментами становится излюбленным инструментом при дворах.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 культурной жизни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Испании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начиная с XVI века большую роль сыграли многочисленные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ассоциации, академии, кружки и собрания – «салоны», собиравшиеся регулярно. Музыкальные концерты родились в недрах таких салонов.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 XVI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веке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увлечение щипковыми инструментами проникает в глубокие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массы. Для них создается огромная литература. Имена компози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торов, представлявших ее, составляют длинную вереницу: Милана,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Корбетто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Фуенльяна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Марин – и – Гарсиа,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Санз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 многие другие.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Пройдя большой путь развития, гитара приняла современный внешний вид. С XIII века гитара известна в Испании. В народном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музициров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ании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использовалась сначала 4х струнная, в XVI веке – она превратилась в 5ти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струнную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До XVIII века она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была меньше размером и корпус е был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довольно узким, вытянутым. К середине XIX века гитара получила окончательную форму и стала больше. На ней появило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сь шесть струн со строем: ми, си, соль, ре, ля, ми.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Из Испании гитара была завезена в западноевропейские страны и Америку, где завоевала большую популярность.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Чем же объяснить столь широкое распространение гитары? Главным образом тем, что она обладает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большими возможностями: на ней можно играть соло, аккомпанировать голосу, скрипке, виолончели, флейте, ее можно встретить в оркестре и ансамбле.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Общие сведения о гитаре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Классическая гитара имеет шесть струн (Ми, Си, Соль, Ре, Ля, Ми)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Ноты записываются н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 пяти линейном нотоносце в ключе соль, октавой выше их действительного звучания. Следовательно, все шесть струн гитары звучат октавой ниже написанного.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Гриф гитары разделен на лады, отделяющиеся друг от друга порожками, их 19 (иногда больше). Звуковой об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ъем гитары охватывает почти четыре октавы и состоит из сорока четырех струн.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Каждая струна может воспроизвести двадцать нот. По характеру звучания гитара близка к арфе, особенно когда на ней натянуты нейлоновые струны.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основе игры на шестиструнной гита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ре надо считать прием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баррэ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– прижимание указательным пальцем левой руки на одном ладу нескольких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или всех струн.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При помощи этого приема легко переходить из одной тональности в другую. На гитаре можно воспроизводить мелодию, сопровождаемую аккомпанементо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м и многоосные произведения. На гитаре,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мягком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по тембру, пользуясь известным и техническими приемами, можно извлекать звуки необычной и разнообразной окраске.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           Крупнейшие гитаристы исполнители и </w:t>
      </w:r>
      <w:proofErr w:type="gram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композиторы</w:t>
      </w:r>
      <w:proofErr w:type="gramEnd"/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            Зарубежные композиторы</w:t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и исполнители 17 века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Франческо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Корбетта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 (1620 – 1681)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Первым общепризнанным композитором, отошедшим от стиля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разгеадо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 использующим полувертикальный полу мелодический стиль письма. Прославленный учитель игры на гитаре в Болонье, где он становится глав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ой блестящей школы. Он создает совместно с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Люлли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музыку для одного из королевских балетов, сочинив антре для нескольких гитар. Это наиболее знаменитый гитарист своего времени, «лучший из всех», отмечал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Гаспар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Санс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Первые сборники (1639 – 1648 годами) пр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едназначены для испанской гитары.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Первый сборник (1671) содержит 14 сюит.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Второй сборник (1674) сюита из 12 пьес и танцы.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Антуан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Карре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 (вторая половина </w:t>
      </w:r>
      <w:proofErr w:type="spellStart"/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XVII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века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Этот композитор, получивший прозвище «Господин Гумно», до последнего времени пребывал в заб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вении.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1671 г. – сборник для гитары 2 сюиты.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«Книга по музыке и игре на гитаре», (которая содержит сюиту для одного мелодического голоса, двух гитар и одного басового инструмента).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Робер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де Визе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(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ок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 1658 – 1725) – наиболее крупный композитор этой плеяд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ы. Ученик, возможно, самого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Корбетты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. Лютнист и гитарист,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владеющий виолой и теорбой, он преподает игру на этих инструментах.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Около 1680 года он вступает в Королевское музыкальное общество, где в основном и протекает его деятельность.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Робер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де Визе остави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 два сборника пьес для гитары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посвященные Людовику XIV (1682);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пьесы для лютни и теорбы(1716);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сборник пьес для гитары (1686).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Санз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Гаспар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(1644 – 1710) года в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Каланде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(область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Бахо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-Арагон).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Его творчество имело большое влияние на многих композиторов,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гитарист, известный композитор и … священник, родившийся в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Каланда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. Он получает образование в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Саламанском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университете, где приобретает диплом геолога, однако впоследств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ии уе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зжает в Италию и обращается к музыке.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Является автором «Руководства по игре на ис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панской гитаре»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состоящее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из трех частей(1674год):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методика игры на гитаре;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упражнения;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табулатуры произведений.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Данное руководство было довольно популярным 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переиздовалось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несколько раз. Его творчество имело большое влияние на многих композиторов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Франческо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Герау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– (Мадрид 1695 г).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Гармоническая поэма для испанской гитары.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XVIII век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Первая половина века: упадок.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Пабло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Мингет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(ум. 1801 г.) ученик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Санса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Мурсиине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обходит вниманием гитару в своем труде «Общие правила и наставления».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Вторая поло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вина: обновление.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Пьер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Желиот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и </w:t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Пьер дела Горд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– талантливые певцы. Они исполняли дуэты, сами себе аккомпанируя.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 xml:space="preserve">В этот период расцветает профессия учителя игры на гитаре. С 1767 года в Париже становится весьма известным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некий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Фавье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XIX век</w:t>
      </w:r>
      <w:proofErr w:type="gramStart"/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есмотря на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то что гитара была в те времена распространена по всей Европе, инструментом виртуозным она становится в двух странах – Испании и Италии.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gram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Фернандо Сор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 – (1778 – 1839 родился в Барселоне.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Очень рано овладел игрой на гитаре; музыкальное образование получил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 католическом монастыре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Монтсеррат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 В 1813 году переезжает в Париж, где вскоре приобретает репутацию одного из лучших виртуозов.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Прозванный «Бетховеном гитары», Сор создает обширный репертуар для своего инструмента. Его школа для гитары (1830). 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Пишет ви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ртуозные пьесы, а для своих учеников – произведения педагогического и салонного репертуара: этюды, вариации, фантазии, дивертисменты, менуэты, вальсы и т. д. </w:t>
      </w:r>
      <w:proofErr w:type="gramEnd"/>
    </w:p>
    <w:p w:rsidR="00324199" w:rsidRDefault="00CC30F0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Им созданы так же «Большое соло», дуэты, сонаты, этюды. Вариации на тему арии из «Волшебной флейт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ы» Моцарта.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3163570" cy="3588385"/>
            <wp:effectExtent l="19050" t="0" r="0" b="0"/>
            <wp:docPr id="1" name="Рисунок 1" descr="http://www.mygitara.ru/uploads/posts/2009-08/1250025381_sor-fern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mygitara.ru/uploads/posts/2009-08/1250025381_sor-fernand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4237" cy="358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Дианисио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Агуадо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(1784 – 1894) ученик падре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Базилио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добился успеха не так быстро – до 1824 года его имя не привлекает большого внимания. В Мадриде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выходит «Сборник этюдов для гитары» (1820), затем «Школа игры» (1825), предназначенная для 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нструмента с шестью одинарными струнами. С 1825 года живет в Париже, где вскоре приобретает славу блестящего виртуоза и начинает, так же как и Сор, концертировать в Европе. Следуя обычаю, он воспитывает учеников.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Связанный с Россини, Беллини, Паганини, и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многими другими известными артистами своего времени. Он поддерживает дружеские контакты со своим соотечественником Фернандо Сором, который пишет дуэт «Два друга» для их совместного исполнения.</w:t>
      </w:r>
      <w:r>
        <w:rPr>
          <w:rFonts w:eastAsia="Times New Roman"/>
          <w:color w:val="000000"/>
          <w:szCs w:val="28"/>
          <w:lang w:eastAsia="ru-RU"/>
        </w:rPr>
        <w:br/>
      </w:r>
    </w:p>
    <w:p w:rsidR="00324199" w:rsidRDefault="00CC30F0">
      <w:pP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</w:pP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Италия.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этой стране гитара с шестью одинарными струнами вхо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дит в употребление в последней четверти XVIII века.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312035" cy="2682875"/>
            <wp:effectExtent l="19050" t="0" r="0" b="0"/>
            <wp:docPr id="2" name="Рисунок 2" descr="http://www.mygitara.ru/uploads/posts/2009-08/1249394082_agu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mygitara.ru/uploads/posts/2009-08/1249394082_aguad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Мауро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Джулиани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(1781 – 1829). Будучи виолончелистом, </w:t>
      </w:r>
      <w:proofErr w:type="spellStart"/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Джулиани</w:t>
      </w:r>
      <w:proofErr w:type="spellEnd"/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увлекается гитарой и быстро приобретает репутацию первоклассного гитариста – исполнителя.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Крупный музыкант своего времени, друг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Гуммеля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Мошалеса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, высоко ценимый Гайдном и Бетховеном, он становится ведущим виртуозом при дворе бывшей императрицы Марии – Луизы, а также совершает концертные поездки по Италии, Голландии и России: в 1819 году окончательно возвращается в родную Италию.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Творчес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кое наследие насчитывает более 200 пьес. Это соло (этюды, вариации, сонаты, сонатины, Большая увертюра, а также камерные ансамбли) с участием гитары (в частности дуэты), концерт для гитары с оркестром (1809). Ему мы обязаны также изобретением маленькой тер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ц гитары.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887980" cy="3812540"/>
            <wp:effectExtent l="19050" t="0" r="7548" b="0"/>
            <wp:docPr id="3" name="Рисунок 3" descr="http://www.mygitara.ru/uploads/posts/2009-08/1249417015_guli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www.mygitara.ru/uploads/posts/2009-08/1249417015_gulian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424" cy="381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Фердинандо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Карулли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(1770 – 1841). Видный педагог и блестящий исполнитель,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Карулли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публикует около трехсот своих сочинений: пьесы для гитары соло, концерты для гитары с оркестром, камерные произведения, которые отличаются высоким инструментальн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ым и техническим мастерством. Два его теоретических труда получили широкое признание: это «Школа игры на лире или гитаре» (1810) и исследование, посвященное аккомпанементу, - «Гармония в применении к гитаре» (1825).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noProof/>
          <w:szCs w:val="28"/>
          <w:lang w:eastAsia="ru-RU"/>
        </w:rPr>
        <w:lastRenderedPageBreak/>
        <w:drawing>
          <wp:inline distT="0" distB="0" distL="0" distR="0">
            <wp:extent cx="2973705" cy="3114040"/>
            <wp:effectExtent l="19050" t="0" r="0" b="0"/>
            <wp:docPr id="4" name="Рисунок 4" descr="http://www.mygitara.ru/uploads/posts/2009-08/1250020687_ferdinando_caru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www.mygitara.ru/uploads/posts/2009-08/1250020687_ferdinando_carull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400" cy="311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Маттео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Каркасси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(1792 – 1853) – один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из наиболее знаменитых итальянских гитаристов своего времени.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Известный в наше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время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прежде всего своей «Школой игры на гитаре» инструмента, в частности три сонаты, этюды, каприччио, рондо, оперные транскрипции.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861945" cy="3821430"/>
            <wp:effectExtent l="19050" t="0" r="0" b="0"/>
            <wp:docPr id="5" name="Рисунок 5" descr="http://mygitara.ru/uploads/posts/2009-07/124898909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://mygitara.ru/uploads/posts/2009-07/1248989099_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3651" cy="382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lastRenderedPageBreak/>
        <w:t xml:space="preserve">Франсиско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Таррега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–и-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Эшеа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(1852 – 1909)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, испанский классический гитарист и композитор, один из основоположников современного исполнительства на этом инструменте.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Таррега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– один из крупнейших гитаристов и гитарных композиторов конца XIX века – начала XX века. Давал многочисленные концерты в Ис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пании, но в 1906 году после инсульта у него наступил паралич правой половины тела,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и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не смотря на то, что он вернулся к концертной деятельности, полностью выздороветь ему так и не удалось.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Ему принадлежат 78 оригинальных произведений и около 120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переложений для гитары. Наиболее известны: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- «Воспоминания об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Альгамбре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»;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«Мавританский танец»;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«Арабское каприччио»;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«Вариации на тему Арагонской хоты», мазурки, прелюдии, этюды.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Среди его учеников и последователей – Мигель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Льобет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Эмилио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Пухоль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Даниэль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Фортеа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. Высоко ценил мастерство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Тарреги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Сеговия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, часто исполнявший его сочинения и использовавший в своей работе его педагогические методы.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214880" cy="3016885"/>
            <wp:effectExtent l="19050" t="0" r="0" b="0"/>
            <wp:docPr id="6" name="Рисунок 6" descr="http://mygitara.ru/uploads/posts/2009-07/12488930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mygitara.ru/uploads/posts/2009-07/1248893070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436" cy="3019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Николо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Паганини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(1782 – 1840). Яркий представитель виртуозности в европейской музыке, не только прославл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енный скрипач, но и блестящий гитарист. Паганини оставляет множество сочинений для гитары: вариации,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сонаты для скрипки, квартеты для скрипки, альта, гитары и виолончели, шестьдесят вариаций на народную тему.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Наполеон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Кост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(1806 – 1883) родился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во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Франц –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Комтэ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. В 1830 году переезжает в Париж.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Кост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– один из лучших исполнителей XIX века, его часто сравнивают с Сором. Несчастный случай, в результате которого он повредил правую руку, вынуждает его ограничить свою артистическую деятельность. Он оставил около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семидесяти произведений для гитары: вальсы, вариации, концертное рондо. Большую серенаду, пьесы для гобоя и гитары и. т. д.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proofErr w:type="gram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XX</w:t>
      </w:r>
      <w:proofErr w:type="gram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век</w:t>
      </w:r>
      <w:proofErr w:type="spellEnd"/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Мигель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Льобе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(1878 – 1938) родился в Барселоне, учился у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Тарреги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, который считал его своим лучшим учеником. Обладая огромным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талантом виртуоза, он становится знаменитостью мирового масштаба.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Льобет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оставил нам прекрасную редакцию двадцати пяти этюдом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Маттео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Каркасси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(1914), несколько транскрипций и переложений для гитары, мелкие пьесы.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Эмилио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Пухоль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(1886 – 1980), ученик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Тар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реги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родился в местечке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Гранаделья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(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Лерида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). Это один из наиболее известных испанских музыкантов и гитаристов.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Профессор по классу гитары в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Барселонской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консерватории, он преподает также в Лиссабоне.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Автор пятитонной «Школы» - «Рациональный метод игры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на гитаре», «Библиотека старинной музыки», множественные переложения для гитары произведений XVI века. В качестве музыковеда ведет большую исследовательскую работу и публикует в современной нотации сборники произведений крупных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виуэлистов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–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Нарваха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Мударр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ы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Вальдеррабано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Андрес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Торрес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Сеговия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, маркиз де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Салобренья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(1894 – 1987) родился в Линаресе (Андалусия). Обучался в детстве игре на рояле, он в дальнейшем обращается к гитаре.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Расстояние, которое отделяло его от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Тарреги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, препятствовало занятиям с масте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ром, поэтому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Сеговия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начинает разрабатывать свои собственные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инструментальные приемы.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Активная деятельность концертирующего артиста не мешает ему вести курсы обучения игре на гитаре в Сантьяго – де –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Компостела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в музыкальной Академии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Киджана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 Сиене, в У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ниверситете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Берклея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. Одновременно с этим он обогащает репертуар гитарными транскрипциями произведений знаменитых композиторов, а так же пьес для лютни 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виуэлы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 Ему мы обязаны переложением для гитары знаменитой Чаконы (из Второй партиты ре минора) И. С. Ба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ха. Благодаря просветительской деятельности, а именно убедить композиторов писать специально для гитары, он сыграл самую большую роль в создании высокой репутации инструмента».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2007870" cy="2199640"/>
            <wp:effectExtent l="19050" t="0" r="0" b="0"/>
            <wp:docPr id="7" name="Рисунок 7" descr="http://mygitara.ru/uploads/posts/2009-07/12489600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mygitara.ru/uploads/posts/2009-07/1248960043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3889" cy="220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Эйтор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Вила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Лобос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(1987 – 1959) выдающийся бразильский композитор, дирижер,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фольклорист, педагог, музыкально-общественный деятель.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Первым учителем был отец – широко образованный человек. Он обучал сына игра на виолончели и кларнете. Некоторые время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Эйтор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посещал музыкальные классы в колледже св. Петра в Рио – де – Жанейро, поздн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ее – курсы в Национальном музыкальном институте. Однако систематического образования Вилла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Лобос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так и не получил. С юношеских лет Вила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Лобос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играл в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шоро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– небольших уличных ансамблях, общался с народными музыкантами.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Под влиянием бразильской народной му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зыки Вила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Лобос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создает свой первый крупный цикл для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комерного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оркестра «Песни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сертана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» (1909).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 1923 года получает правительственную стипендию, что дает ему возможность жить несколько лет в Париже. Вила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Лобос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по поручению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правительства, создает Национа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льную консерваторию, десятки музыкальных школ и хоровых коллективов, вводит музыку в школьные программы.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1945 году в Рио – де – Жанейро была открыта Бразильская академия музыки, президентом которой он оставался до конца жизни.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Лучшее творения: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– цикл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«Бразильские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бахианы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»;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цикл миниатюр;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«Двенадцать этюдов»;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«Популярная бразильская сюита»;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- 5 прелюдий;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транскрипции для двух гитар;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- «Концерт для гитары с оркестром» и многое другое.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Отечественные композиторы и исполнители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Петр Спиридонович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А</w:t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гафошин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родился 1874 году. Более 40 лет проработал артистом оркестра в Государственном Малом театре. С 1931 году он вел класс гитары в музыкальном училище имени Октябрьской революции и Московской государственной консерватории.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Агафошину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принадлежит книга «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Новое о гитаре» (1928). Свыше десятка сборников пьес классиков шестиструнной гитары и шесть альбомов собственных транскрипций и композиций выпущены в 1930 – 1950 годах.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Александр Михайлович Иванов-Крамской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(1912 - 1973).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Автор двух концертов для гитары с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оркестром и свыше ста пьес для этого инструмента. А. Иванов-Крамской успешно сочетал концертную деятельность, записи на радио и грампластинки –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педагогической. В стенах музыкального училища при Московской государственной консерватории им. П. И. Чайковск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ого им подготовлен целый ряд интересных музыкантов. А. Ивановым-Крамским выпущена «Школа игры на шестиструнной гитаре», сыгравшая важную роль в деле подготовки молодых гитаристов.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Ларичев Евгений Дмитриевич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(родился 13 января 1934 года в Москве) – русский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гитарист – исполнитель, композитор и педагог. Окончил Музыкальное училище при Московской консерватории имени П. И.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Чайковского по классу гитары А. М. Иванова-Крамского.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 1959 года – солист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Москонцерта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 Выступал с гастролями во многих городах России и б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ывшего СССР. Автор «Самоучителя игры на шестиструнной гитаре», оригинальных сочинений, переложений и обработок, составитель многих сборников для гитары.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Фирмой «Мелодия» была выпущены грампластинки с записями игры Е. Ларичева.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Александр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Камиллови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Фраучи</w:t>
      </w:r>
      <w:proofErr w:type="spellEnd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с его именем связано открытие класса гитары в институте им. Гнесиных в 1980 году. В 1993 году А.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Фраучи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открыл класс и основал кафедру в государственной классической академии имени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Маймонида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 г. Москве, в школе десятилетки имени Гнесиных, в Судане, где с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ейчас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преподают его ученики А. К.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Фраучи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был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награжден Орденом защитника отечества I степени в области культуры и искусства.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Современники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Зинчук Виктор 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8 апреля 1958 года.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 настоящее время Зинчук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заслужено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признан лучшим гитаристом России. Его концерты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собирают аншлаги в престижных залах Москвы и во многих городах России. Он часто и успешно выступает за рубежом.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За достижения в области гитарной музыки в 1995 году музыкант был удостоен степени Почетного Магистра Международной Академии наук республики Са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н-Марино, а в 1996 году региональный филиал Академии присваивает Виктору звание Ассоциированного профессора.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… Выходя на сцену, я должен каждый раз доказывать, что лучший, что я – «золотая гитара России», как теперь принято говорить».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Виктор Зинчук родил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ся 8 апреля 1958 года в Москве. Начал играть на гитаре в одиннадцать лет. До 16 лет Виктор играл в различных школьных группах и как многие его сверстники слушал с восторгом западных рок – музыкантов.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 1976 по 1980 Виктор обучался в Музыкально – педагогич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еском училище им. Октябрьской революции по классу классической гитары и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дирижирования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оркестром народных инструментов.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 1978 году Зинчука пригласили в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эстрадно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– симфонический оркестр Всесоюзного радио и Центрального телевидения под управлением Юрия Васи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льевича Силантьева. В 1979 году он получает государственную квалификацию «артист высшей категории; но вскоре уходит в гр. «Арсенал».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1991 году Зинчук поступает в Московский Государственный университет культуры по специальности «Музыкальное искусство эст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рады», который заканчивает с отличием.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1993 году музыкант дает концерты в Голландии и во Франции. В этом же году выходит компакт – диск Зинчука «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Mix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No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One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». Обработка «24 каприза» Паганини.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1995 году заканчивает работу под новым альбомом «Неокласси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ка».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В 1999 году – новый альбом «Одинокий в ночи» на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компакт-кассетах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2000 году – новый альбом музыканта «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Неолирика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».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2001 году – устанавливает рекорд по быстроте игре на гитаре, исполнив за 24 секунды произведение Римского Корсакова «Полет шмеля», а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так же 20 нот в течение 1 секунды. Этот факт зафиксирован в российском издании «Книга рекордов Гиннеса».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Елена Михайловна </w:t>
      </w:r>
      <w:proofErr w:type="spellStart"/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Поплянова</w:t>
      </w:r>
      <w:proofErr w:type="spellEnd"/>
      <w:proofErr w:type="gramStart"/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Р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одилась 11 июля 1961 года в Челябинске. В 1980 года окончила теоретическое отделение Челябинского музыкального училища 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мени П. И. Чайковского, где занималась композицией в классе Ю. Е. Гальперина.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 1981 по 1986 года училась в Ленинградской государственной консерватории имени Н. А. Римского-Корсакова (класс В. Успенского).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 1986 года – снова в Челябинске. Много лет раб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отает в гимназии № 10, где успешно занимается композицией и развитием творческих способностей у детей.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 2008 году ей присвоено почетное звание «Заслуженный работник культуры Российской Федерации».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lastRenderedPageBreak/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Елена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Поплянова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является создателем авторской программы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воспитания ребенка «Подари мне музыку».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Семинары «Воспитание творчеством», «Игровое сольфеджио», «Развитие творческих способностей детей» и др. с успехом проходит в разных городах России.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Но прежде всего она – композитор. Перу Елены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Попляновой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принадлежа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т музыкально – сценические сочинения «Шагал один чудак» (1976, 2001).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«Смерть чиновника» - одноактная опера (1984).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«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Дюймовочка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» (1993) – музыкальная сказка для струнного квартета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Концерт для гитары и камерного оркестра (1994).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«Адажио для Антонио Ви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вальди» для 2х флейт и камерного оркестра (1995).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«Карусель» (1995, 1998).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Сонаты для гитары, фортепиано, флейты.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Инструментальные миниатюры для разных составов и сольных инструментов.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«Уральские посиделки» - сюита для фортепиано (2003).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50 фортепианн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ых пьес (2003).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10 пьес для ансамбля гитар (трио и квартет).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50 песен и танцев народов мира (2004).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«Анна» - балет на стихи А. Ахматовой в 2х действиях.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«60 лет после войны» цикл песен на стихи А. Дементьева.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</w:p>
    <w:p w:rsidR="00324199" w:rsidRDefault="00CC30F0">
      <w:pPr>
        <w:rPr>
          <w:szCs w:val="28"/>
        </w:rPr>
      </w:pP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lastRenderedPageBreak/>
        <w:t>Виктор Викторович Козлов</w:t>
      </w:r>
      <w:proofErr w:type="gramStart"/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Р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одился в 1958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году – российский гитарист и музыкальный педагог. Основатель Южно-Уральской гитарной школы.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Композиторские предпочтения Виктора Козлова относятся к сфере миниатюр для гитары соло и трио гитар.</w:t>
      </w:r>
      <w:r>
        <w:rPr>
          <w:rFonts w:eastAsia="Times New Roman"/>
          <w:color w:val="000000"/>
          <w:szCs w:val="28"/>
          <w:lang w:eastAsia="ru-RU"/>
        </w:rPr>
        <w:br/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Популярностью пользуются такие юмористические пьесы  как «Восто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чный танец», «Танец охотника», «Марш солдатиков», «Маленький детектив» и др.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Сочинения Виктора Козлова издаются в России, Германии, Италии, Англии, Польше, Финляндии.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Ведущие мировые исполнители гитарной музыки – Н.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Комолятов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С.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Диниган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, Т.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Вольская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, дуэт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ы «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Каприччиозо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» и «Концертино», трио гитаристов Урала – включают в репертуар пьесы этого автора.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Являясь профессором Челябинского института музыки, Виктор Викторович Козлов, как автор обучающих программ, особое значение придает музыке для детей. Так, альб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ом «Маленькие тайны сеньориты Гитары» (1999) стал уникальным учебным пособием, для наиболее полного раскрытия образа применены красочные приемы, появившиеся в конце XX века.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«Эхо бразильского карнавала» - новый, захватывающий внимание альбом для дуэта гит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ар. Пьесы, вошедшие в альбом, могут быть использованы в учебном процессе музыкальных школ и колледжей, а также для </w:t>
      </w:r>
      <w:proofErr w:type="gram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домашнего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музицирования</w:t>
      </w:r>
      <w:proofErr w:type="spell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>Заключение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b/>
          <w:bCs/>
          <w:color w:val="000000"/>
          <w:szCs w:val="28"/>
          <w:shd w:val="clear" w:color="auto" w:fill="FFFFFF"/>
          <w:lang w:eastAsia="ru-RU"/>
        </w:rPr>
        <w:t xml:space="preserve"> Гитара сегодня</w:t>
      </w:r>
      <w:proofErr w:type="gramStart"/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С</w:t>
      </w:r>
      <w:proofErr w:type="gramEnd"/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о времени создания первого музыкального инструмента прошло много времени. Инструменты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преображались, совершенствовались, приобретая самые причудливые формы и виды. Пройдя путь не одного тысячелетия, наряду с развитием цивилизации совершенствовался инструмент гитара. Имея различные формы и названия, дошла до наших дней под именем «классическ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ая гитара». Последние два века доказали, что этот инструмент достиг своего совершенства, подобно скрипке. И теперь маловероятно, что гитара изменит свой вид в будущем. </w:t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lang w:eastAsia="ru-RU"/>
        </w:rPr>
        <w:br/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Можно утверждать, что благодаря сформировавшейся совершенной конструкции гитары, стало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возможны исполнения на ней не только шедевров мировой классики, но и современной музыки в стиле рок, поп, джаз. Вы 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lastRenderedPageBreak/>
        <w:t>будете не правы, если посчитаете, что для этих целей существует звуковоспроизводящая аппаратура. Речь идет о творении своими руками, о любим</w:t>
      </w:r>
      <w:r>
        <w:rPr>
          <w:rFonts w:eastAsia="Times New Roman"/>
          <w:color w:val="000000"/>
          <w:szCs w:val="28"/>
          <w:shd w:val="clear" w:color="auto" w:fill="FFFFFF"/>
          <w:lang w:eastAsia="ru-RU"/>
        </w:rPr>
        <w:t>ых мелодиях, звучащих в наших руках. В наше время на гитаре играют миллионы людей и между тем, интерес к инструменту постоянно растет. Без сомнения, музыка будущего будет звучать на гитаре, на классической гитаре.</w:t>
      </w:r>
      <w:r>
        <w:rPr>
          <w:rFonts w:eastAsia="Times New Roman"/>
          <w:color w:val="000000"/>
          <w:szCs w:val="28"/>
          <w:lang w:eastAsia="ru-RU"/>
        </w:rPr>
        <w:br/>
      </w:r>
    </w:p>
    <w:sectPr w:rsidR="0032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924"/>
    <w:rsid w:val="00324199"/>
    <w:rsid w:val="00432755"/>
    <w:rsid w:val="0054194E"/>
    <w:rsid w:val="0070538A"/>
    <w:rsid w:val="00706B68"/>
    <w:rsid w:val="009E1FDE"/>
    <w:rsid w:val="00A05BEE"/>
    <w:rsid w:val="00CC30F0"/>
    <w:rsid w:val="00D267B0"/>
    <w:rsid w:val="00D75419"/>
    <w:rsid w:val="00FC0924"/>
    <w:rsid w:val="029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Pr>
      <w:rFonts w:ascii="Times New Roman" w:hAnsi="Times New Roman" w:cs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Pr>
      <w:rFonts w:ascii="Times New Roman" w:hAnsi="Times New Roman" w:cs="Times New Roman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5">
    <w:name w:val="15"/>
    <w:basedOn w:val="a1"/>
    <w:qFormat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3995</Words>
  <Characters>22778</Characters>
  <Application>Microsoft Office Word</Application>
  <DocSecurity>0</DocSecurity>
  <Lines>189</Lines>
  <Paragraphs>53</Paragraphs>
  <ScaleCrop>false</ScaleCrop>
  <Company>SPecialiST RePack</Company>
  <LinksUpToDate>false</LinksUpToDate>
  <CharactersWithSpaces>26720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dcterms:created xsi:type="dcterms:W3CDTF">2019-01-12T15:53:00Z</dcterms:created>
  <dcterms:modified xsi:type="dcterms:W3CDTF">2019-01-19T14:24:00Z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